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1A" w:rsidRDefault="0057091A">
      <w:pPr>
        <w:pStyle w:val="ConsPlusNormal"/>
        <w:jc w:val="both"/>
        <w:outlineLvl w:val="0"/>
      </w:pPr>
    </w:p>
    <w:p w:rsidR="0057091A" w:rsidRDefault="0057091A">
      <w:pPr>
        <w:pStyle w:val="ConsPlusTitle"/>
        <w:jc w:val="center"/>
        <w:outlineLvl w:val="0"/>
      </w:pPr>
      <w:r>
        <w:t>ПРАВИТЕЛЬСТВО БРЯНСКОЙ ОБЛАСТИ</w:t>
      </w:r>
    </w:p>
    <w:p w:rsidR="0057091A" w:rsidRDefault="0057091A">
      <w:pPr>
        <w:pStyle w:val="ConsPlusTitle"/>
        <w:jc w:val="center"/>
      </w:pPr>
    </w:p>
    <w:p w:rsidR="0057091A" w:rsidRDefault="0057091A">
      <w:pPr>
        <w:pStyle w:val="ConsPlusTitle"/>
        <w:jc w:val="center"/>
      </w:pPr>
      <w:r>
        <w:t>ПОСТАНОВЛЕНИЕ</w:t>
      </w:r>
    </w:p>
    <w:p w:rsidR="0057091A" w:rsidRDefault="0057091A">
      <w:pPr>
        <w:pStyle w:val="ConsPlusTitle"/>
        <w:jc w:val="center"/>
      </w:pPr>
      <w:r>
        <w:t>от 22 ноября 2021 г. N 495-п</w:t>
      </w:r>
    </w:p>
    <w:p w:rsidR="0057091A" w:rsidRDefault="0057091A">
      <w:pPr>
        <w:pStyle w:val="ConsPlusTitle"/>
        <w:jc w:val="both"/>
      </w:pPr>
    </w:p>
    <w:p w:rsidR="0057091A" w:rsidRDefault="0057091A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57091A" w:rsidRDefault="0057091A">
      <w:pPr>
        <w:pStyle w:val="ConsPlusTitle"/>
        <w:jc w:val="center"/>
      </w:pPr>
      <w:r>
        <w:t>КОНТРОЛЕ (НАДЗОРЕ) В ОБЛАСТИ ДОЛЕВОГО СТРОИТЕЛЬСТВА</w:t>
      </w:r>
    </w:p>
    <w:p w:rsidR="0057091A" w:rsidRDefault="0057091A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5">
        <w:r>
          <w:rPr>
            <w:color w:val="0000FF"/>
          </w:rPr>
          <w:t>статьей 23.5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hyperlink r:id="rId6">
        <w:r>
          <w:rPr>
            <w:color w:val="0000FF"/>
          </w:rPr>
          <w:t>Положением</w:t>
        </w:r>
      </w:hyperlink>
      <w:r>
        <w:t xml:space="preserve"> о департаменте строительства Брянской области, утвержденным указом Губернатора Брянской области от 17 августа 2017 года N 139, Правительство Брянской области постановляет: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1. Утвердить прилагаемые:</w:t>
      </w:r>
    </w:p>
    <w:p w:rsidR="0057091A" w:rsidRDefault="0057091A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недвижимости;</w:t>
      </w:r>
    </w:p>
    <w:p w:rsidR="0057091A" w:rsidRDefault="0057091A">
      <w:pPr>
        <w:pStyle w:val="ConsPlusNormal"/>
        <w:spacing w:before="220"/>
        <w:ind w:firstLine="540"/>
        <w:jc w:val="both"/>
      </w:pPr>
      <w:hyperlink w:anchor="P212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2. Признать утратившими силу постановления Правительства Брянской области: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от 23 декабря 2019 года </w:t>
      </w:r>
      <w:hyperlink r:id="rId7">
        <w:r>
          <w:rPr>
            <w:color w:val="0000FF"/>
          </w:rPr>
          <w:t>N 673-п</w:t>
        </w:r>
      </w:hyperlink>
      <w:r>
        <w:t xml:space="preserve"> "Об утверждении Порядка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области";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от 24 августа 2020 года </w:t>
      </w:r>
      <w:hyperlink r:id="rId8">
        <w:r>
          <w:rPr>
            <w:color w:val="0000FF"/>
          </w:rPr>
          <w:t>N 392-п</w:t>
        </w:r>
      </w:hyperlink>
      <w:r>
        <w:t xml:space="preserve"> "О внесении изменений в постановление Правительства Брянской области от 23 декабря 2019 года N 673-п "Об утверждении Порядка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области".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3. Настоящее постановление вступает в силу с 1 января 2022 года.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4. Опубликовать постановление на "Официальном интернет-портале правовой информации" (pravo.gov.ru).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Губернатора Брянской области Симоненко Н.К.</w:t>
      </w:r>
    </w:p>
    <w:p w:rsidR="0057091A" w:rsidRDefault="0057091A">
      <w:pPr>
        <w:pStyle w:val="ConsPlusNormal"/>
        <w:jc w:val="both"/>
      </w:pPr>
      <w:r>
        <w:t xml:space="preserve">(п. 5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121-п)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right"/>
      </w:pPr>
      <w:r>
        <w:t>Губернатор</w:t>
      </w:r>
    </w:p>
    <w:p w:rsidR="0057091A" w:rsidRDefault="0057091A">
      <w:pPr>
        <w:pStyle w:val="ConsPlusNormal"/>
        <w:jc w:val="right"/>
      </w:pPr>
      <w:r>
        <w:t>А.В.БОГОМАЗ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right"/>
        <w:outlineLvl w:val="0"/>
      </w:pPr>
      <w:r>
        <w:lastRenderedPageBreak/>
        <w:t>Утверждено</w:t>
      </w:r>
    </w:p>
    <w:p w:rsidR="0057091A" w:rsidRDefault="0057091A">
      <w:pPr>
        <w:pStyle w:val="ConsPlusNormal"/>
        <w:jc w:val="right"/>
      </w:pPr>
      <w:r>
        <w:t>постановлением</w:t>
      </w:r>
    </w:p>
    <w:p w:rsidR="0057091A" w:rsidRDefault="0057091A">
      <w:pPr>
        <w:pStyle w:val="ConsPlusNormal"/>
        <w:jc w:val="right"/>
      </w:pPr>
      <w:r>
        <w:t>Правительства Брянской области</w:t>
      </w:r>
    </w:p>
    <w:p w:rsidR="0057091A" w:rsidRDefault="0057091A">
      <w:pPr>
        <w:pStyle w:val="ConsPlusNormal"/>
        <w:jc w:val="right"/>
      </w:pPr>
      <w:r>
        <w:t>от 22 ноября 2021 г. N 495-п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</w:pPr>
      <w:bookmarkStart w:id="0" w:name="P41"/>
      <w:bookmarkEnd w:id="0"/>
      <w:r>
        <w:t>ПОЛОЖЕНИЕ</w:t>
      </w:r>
    </w:p>
    <w:p w:rsidR="0057091A" w:rsidRDefault="0057091A">
      <w:pPr>
        <w:pStyle w:val="ConsPlusTitle"/>
        <w:jc w:val="center"/>
      </w:pPr>
      <w:r>
        <w:t>О РЕГИОНАЛЬНОМ ГОСУДАРСТВЕННОМ КОНТРОЛЕ (НАДЗОРЕ)</w:t>
      </w:r>
    </w:p>
    <w:p w:rsidR="0057091A" w:rsidRDefault="0057091A">
      <w:pPr>
        <w:pStyle w:val="ConsPlusTitle"/>
        <w:jc w:val="center"/>
      </w:pPr>
      <w:r>
        <w:t>В ОБЛАСТИ ДОЛЕВОГО СТРОИТЕЛЬСТВА МНОГОКВАРТИРНЫХ</w:t>
      </w:r>
    </w:p>
    <w:p w:rsidR="0057091A" w:rsidRDefault="0057091A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57091A" w:rsidRDefault="0057091A">
      <w:pPr>
        <w:pStyle w:val="ConsPlusTitle"/>
        <w:jc w:val="center"/>
        <w:outlineLvl w:val="1"/>
      </w:pPr>
    </w:p>
    <w:p w:rsidR="0057091A" w:rsidRDefault="0057091A">
      <w:pPr>
        <w:pStyle w:val="ConsPlusTitle"/>
        <w:jc w:val="center"/>
        <w:outlineLvl w:val="1"/>
      </w:pPr>
      <w:r>
        <w:t>I. Общие положения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1.1. Настоящее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(далее - Положение) устанавливает порядок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(далее - региональный государственный контроль (надзор)) на территории Брянской области.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1.2. Предметом регионального государственного контроля (надзора)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 и принятыми в соответствии с ним иными нормативными правовыми актами Российской Федерации.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1.3. Региональный государственный контроль (надзор) осуществляет департамент строительства Брянской области (далее - департамент).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1.4. Должностными лицами департамента, уполномоченными на осуществление регионального государственного контроля (надзора), являются: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начальник структурного подразделения департамента, а также иные государственные гражданские служащие департамента, должностными регламентами которых предусмотрено осуществление регионального государственного контроля (надзора).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1.5. Должностные лица, уполномоченные на осуществление регионального государственного контроля (надзора), пользуются правами и выполняют обязанности, установленные </w:t>
      </w:r>
      <w:hyperlink r:id="rId1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1.6. Должностными лицами департамента, уполномоченными на принятие решений о проведении контрольных (надзорных) мероприятий, являются директор департамента, первый заместитель директора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1.7. Объекты контроля (надзора) - деятельность, действия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(далее - контролируемые лица), в рамках которых должны соблюдаться обязательные требования, установленные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214-ФЗ и </w:t>
      </w:r>
      <w:r>
        <w:lastRenderedPageBreak/>
        <w:t>принятыми в соответствии с ним иными нормативными правовыми актами Российской Федерации.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1.8. Организация и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регулируются положениями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1.9. Департамент ведет реестр многоквартирных домов и иных объектов недвижимости, строящихся с привлечением денежных средств физических и юридических лиц.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57091A" w:rsidRDefault="0057091A">
      <w:pPr>
        <w:pStyle w:val="ConsPlusTitle"/>
        <w:jc w:val="center"/>
      </w:pPr>
      <w:r>
        <w:t>законом ценностям при осуществлении регионального</w:t>
      </w:r>
    </w:p>
    <w:p w:rsidR="0057091A" w:rsidRDefault="0057091A">
      <w:pPr>
        <w:pStyle w:val="ConsPlusTitle"/>
        <w:jc w:val="center"/>
      </w:pPr>
      <w:r>
        <w:t>государственного контроля (надзора) в области</w:t>
      </w:r>
    </w:p>
    <w:p w:rsidR="0057091A" w:rsidRDefault="0057091A">
      <w:pPr>
        <w:pStyle w:val="ConsPlusTitle"/>
        <w:jc w:val="center"/>
      </w:pPr>
      <w:r>
        <w:t>долевого строительства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2.1. При осуществлении регионального государственного контроля (надзора) департамент относит объекты контроля (надзора) к одной из следующих категорий риска причинения вреда (ущерба) (далее - категории риска):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средний риск;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умеренный риск;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низкий риск.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2.2. Отнесение объектов контроля (надзора) к определенной категории риска осуществляется на основании </w:t>
      </w:r>
      <w:hyperlink w:anchor="P182">
        <w:r>
          <w:rPr>
            <w:color w:val="0000FF"/>
          </w:rPr>
          <w:t>критериев</w:t>
        </w:r>
      </w:hyperlink>
      <w: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к настоящему Положению.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2.3. Отнесение объекта надзора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2.4. 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2.5. 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2.6. 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2.7.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57091A" w:rsidRDefault="0057091A">
      <w:pPr>
        <w:pStyle w:val="ConsPlusTitle"/>
        <w:jc w:val="center"/>
      </w:pPr>
      <w:r>
        <w:t>охраняемым законом ценностям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 xml:space="preserve">3.1. Департамент, руководствуясь требованиями </w:t>
      </w:r>
      <w:hyperlink r:id="rId14">
        <w:r>
          <w:rPr>
            <w:color w:val="0000FF"/>
          </w:rPr>
          <w:t>части 2 статьи 44</w:t>
        </w:r>
      </w:hyperlink>
      <w:r>
        <w:t xml:space="preserve"> Федерального закона N 248-ФЗ, ежегодно, не позднее 20 декабря предшествующего года, утверждает программу профилактики рисков причинения вреда (ущерба) охраняемым законом ценностям (далее - программа профилактики рисков).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3.2. Утвержденная программа профилактики рисков размещается в течение пяти дней со дня утверждения на официальном сайте департамента в информационно-телекоммуникационной сети "Интернет".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lastRenderedPageBreak/>
        <w:t xml:space="preserve">3.3. Департаментом в соответствии со </w:t>
      </w:r>
      <w:hyperlink r:id="rId15">
        <w:r>
          <w:rPr>
            <w:color w:val="0000FF"/>
          </w:rPr>
          <w:t>статьей 45</w:t>
        </w:r>
      </w:hyperlink>
      <w:r>
        <w:t xml:space="preserve"> Федерального закона N 248-ФЗ могут проводиться следующие профилактические мероприятия: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3.4. Департамент осуществляет информирование контролируемых и иных заинтересованных лиц по вопросам соблюдения обязательных требований в порядке, предусмотренном </w:t>
      </w:r>
      <w:hyperlink r:id="rId16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3.5. Информирование осуществляется посредством размещения и поддержания актуальных сведений на официальном сайте департамента в информационно-телекоммуникационной сети "Интернет".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3.6. Департамент ежегодно по итогам обобщения правоприменительной практики подготавливает доклад, содержащий результаты осуществления регионального государственного контроля (надзора) (далее - доклад о правоприменительной практике).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3.7. Доклад о правоприменительной практике готовится не позднее 1 марта года, следующего за отчетным.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3.8. Доклад о правоприменительной практике утверждается приказом директора департамента (лицом, его замещающим) и размещается на официальном сайте департамента в информационно-телекоммуникационной сети "Интернет" в срок до 10 дней со дня утверждения доклада о правоприменительной практике.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3.9. 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Составление и оформление предостережения осуществляется не позднее 30 календарных дней со дня получения департаментом сведений, предусмотренных абзацем первым настоящего пункта.</w:t>
      </w:r>
    </w:p>
    <w:p w:rsidR="0057091A" w:rsidRDefault="0057091A">
      <w:pPr>
        <w:pStyle w:val="ConsPlusNormal"/>
        <w:jc w:val="both"/>
      </w:pPr>
      <w:r>
        <w:t xml:space="preserve">(п. 3.9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121-п)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3.10. Решение об объявлении предостережения принимается и подписывается директором (первым заместителем директора)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3.11. Предостережение направляется контролируемым лицам в порядке, установленном </w:t>
      </w:r>
      <w:hyperlink r:id="rId18">
        <w:r>
          <w:rPr>
            <w:color w:val="0000FF"/>
          </w:rPr>
          <w:t>частями 4</w:t>
        </w:r>
      </w:hyperlink>
      <w:r>
        <w:t xml:space="preserve">, </w:t>
      </w:r>
      <w:hyperlink r:id="rId19">
        <w:r>
          <w:rPr>
            <w:color w:val="0000FF"/>
          </w:rPr>
          <w:t>5 статьи 21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3.12. В указанный в предостережении срок контролируемые лица направляют по типовой форме документа в департамент уведомление об исполнении предостережения либо возражения в отношении указанного предостережения.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3.13. Контролируемые лица вправе после получения предостережения подать в департамент </w:t>
      </w:r>
      <w:r>
        <w:lastRenderedPageBreak/>
        <w:t>возражение в отношении указанного предостережения (далее - возражение) в срок не позднее 30 дней со дня получения им предостережения.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3.14. В возражениях указываются: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наименование контролируемого лица;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- юридического лица, индивидуального предпринимателя;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дата и номер направленного предостережения;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требований, установленных правовыми актами.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3.15. Возражения направляются контролируемыми лицами в виде электронного документа, подписанного усиленной квалифицированной электронной подписью лица, уполномоченного представлять интересы контролируемые лица, на указанный в предостережении адрес электронной почты департамента либо иными указанными в предостережении способами.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3.16. Должностное лицо департамента рассматривает обоснованность возражений и готовит по ним проект письменного ответа, который подписывается директором (первым заместителем директора)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3.17. Указанный в пункте 3.16 ответ направляется контролируемым лицам в течение 20 рабочих дней со дня получения возражений по адресу, сведения о котором представлены департаменту контролируемыми лицами и внесены в информационные ресурсы, информационные системы при осуществлении регионального государственного контроля (надзора)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</w:t>
      </w:r>
    </w:p>
    <w:p w:rsidR="0057091A" w:rsidRDefault="0057091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121-п)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3.18. При отсутствии возражений контролируемые лица в указанный в предостережении срок направляют в департамент уведомление об исполнении предостережения.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3.19. Департамент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3.20. Должностное лицо департамента по обращениям контролируемых лиц и их представителей осуществляет консультирование в соответствии со </w:t>
      </w:r>
      <w:hyperlink r:id="rId2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3.21. Консультирование проводится по следующим вопросам: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профилактика рисков нарушения обязательных требований;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соблюдение обязательных требований в сфере долевого строительства многоквартирных домов и (или) иных объектов недвижимости;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порядок осуществления регионального государственного контроля (надзора);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порядок обжалования решений департамента;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иные вопросы, касающиеся осуществления регионального государственного контроля (надзора).</w:t>
      </w:r>
    </w:p>
    <w:p w:rsidR="0057091A" w:rsidRDefault="0057091A">
      <w:pPr>
        <w:pStyle w:val="ConsPlusNormal"/>
        <w:spacing w:before="280"/>
        <w:ind w:firstLine="540"/>
        <w:jc w:val="both"/>
      </w:pPr>
      <w:r>
        <w:lastRenderedPageBreak/>
        <w:t xml:space="preserve">3.22. Должностные лица департамента предоставляют письменное консультирование по вопросам, предусмотренным </w:t>
      </w:r>
      <w:hyperlink w:anchor="P114">
        <w:r>
          <w:rPr>
            <w:color w:val="0000FF"/>
          </w:rPr>
          <w:t>пунктом 3.21</w:t>
        </w:r>
      </w:hyperlink>
      <w:r>
        <w:t xml:space="preserve"> настоящего Положения.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3.23. Консультирование может осуществляться должностным лицом департамента по телефону, на личном приеме либо в ходе проведения профилактического мероприятия, контрольного (надзорного) мероприятия.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3.24. По итогам консультирования информация в письменной форме контролируемым лицам и их представителям не предоставляется.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3.25. В случае поступления от контролируемых лиц запроса о предоставлении письменного ответа ответ на такой запрос направляется в сроки, установленные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3.27. Информация, ставшая известной должностному лицу департамента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3.28. Департамент осуществляет учет консультирований.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3.29. Консультирование по однотипным обращениям контролируемых лиц и их представителей осуществляется посредством размещения на официальном сайте департамента в информационно-телекоммуникационной сети "Интернет" письменного разъяснения, подписанного директором (первым заместителем директора)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3.30. Обязательные профилактические визиты проводятся департаментом в соответствии со </w:t>
      </w:r>
      <w:hyperlink r:id="rId23">
        <w:r>
          <w:rPr>
            <w:color w:val="0000FF"/>
          </w:rPr>
          <w:t>статьей 52</w:t>
        </w:r>
      </w:hyperlink>
      <w:r>
        <w:t xml:space="preserve"> Федерального закона N 248-ФЗ в отношении контролируемых лиц, приступающих к осуществлению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недвижимости, после заключения контролируемым лицом договора участия в долевом строительстве с первым участником долевого строительства многоквартирного дома и (или) иного объекта недвижимости.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3.31. Программой профилактики рисков устанавливается график проведения профилактических визитов.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3.32. В ходе профилактического визита должностным лицом департамента может осуществляться консультирование контролируемых лиц в порядке, установленном </w:t>
      </w:r>
      <w:hyperlink r:id="rId24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3.33. Профилактический визит проводится с предварительным информированием контролируемых лиц. Срок проведения профилактического визита не может превышать один рабочий день.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3.34. Департамент обязан предложить проведение профилактического визита контролируемому лицу, приступающему к осуществлению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недвижимости, после заключения контролируемым лицом договора участия в долевом строительстве с первым участником долевого строительства многоквартирного дома и (или) иного объекта недвижимости не позднее чем в течение одного года с момента начала такой деятельности.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lastRenderedPageBreak/>
        <w:t xml:space="preserve">3.35. Контролируемое лицо в соответствии с </w:t>
      </w:r>
      <w:hyperlink r:id="rId25">
        <w:r>
          <w:rPr>
            <w:color w:val="0000FF"/>
          </w:rPr>
          <w:t>частью 6 статьи 52</w:t>
        </w:r>
      </w:hyperlink>
      <w:r>
        <w:t xml:space="preserve"> Федерального закона N 248-ФЗ имеет право отказаться от проведения обязательного профилактического визита, при этом оно должно уведомить об отказе департамент не позднее чем за три рабочих дня до дня проведения обязательного профилактического визита.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  <w:outlineLvl w:val="1"/>
      </w:pPr>
      <w:r>
        <w:t>IV. Осуществление регионального государственного</w:t>
      </w:r>
    </w:p>
    <w:p w:rsidR="0057091A" w:rsidRDefault="0057091A">
      <w:pPr>
        <w:pStyle w:val="ConsPlusTitle"/>
        <w:jc w:val="center"/>
      </w:pPr>
      <w:r>
        <w:t>контроля (надзора)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4.1. В рамках регионального государственного контроля (надзора) осуществляются следующие виды контрольных (надзорных) мероприятий: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4.2. Контрольные (надзорные) мероприятия в виде внеплановых документарных и выездных проверок проводятся по основаниям, предусмотренным </w:t>
      </w:r>
      <w:hyperlink r:id="rId26">
        <w:r>
          <w:rPr>
            <w:color w:val="0000FF"/>
          </w:rPr>
          <w:t>пунктами 1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 - </w:t>
      </w:r>
      <w:hyperlink r:id="rId28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4.3.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3 - 5 части 1, </w:t>
      </w:r>
      <w:hyperlink r:id="rId29">
        <w:r>
          <w:rPr>
            <w:color w:val="0000FF"/>
          </w:rPr>
          <w:t>частью 3 статьи 57</w:t>
        </w:r>
      </w:hyperlink>
      <w:r>
        <w:t xml:space="preserve"> и </w:t>
      </w:r>
      <w:hyperlink r:id="rId30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4.4. Выездная проверка проводится в случае, если не представляется возможным: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которые содержатся в находящихся в распоряжении департамента или в запрашиваемых документах и объяснениях контролируемого лица;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документарной проверки.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4.5. В ходе документарной проверки могут совершаться следующие контрольные (надзорные) действия: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4.6. В ходе выездных проверок могут совершаться следующие контрольные (надзорные) действия: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опрос;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4.7. Контрольные (надзорные) мероприятия в виде выездных и документарных проверок проводятся на основании приказа директора (первого заместителя директора) департамента.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4.8.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4.9. Срок проведения документарной проверки не может превышать 10 рабочих дней.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4.10. 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  <w:outlineLvl w:val="1"/>
      </w:pPr>
      <w:r>
        <w:t>V. Обжалование решений департамента, действий (бездействия)</w:t>
      </w:r>
    </w:p>
    <w:p w:rsidR="0057091A" w:rsidRDefault="0057091A">
      <w:pPr>
        <w:pStyle w:val="ConsPlusTitle"/>
        <w:jc w:val="center"/>
      </w:pPr>
      <w:r>
        <w:t>его должностных лиц</w:t>
      </w:r>
    </w:p>
    <w:p w:rsidR="0057091A" w:rsidRDefault="0057091A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57091A" w:rsidRDefault="0057091A">
      <w:pPr>
        <w:pStyle w:val="ConsPlusNormal"/>
        <w:jc w:val="center"/>
      </w:pPr>
      <w:r>
        <w:t>от 03.04.2023 N 121-п)</w:t>
      </w:r>
    </w:p>
    <w:p w:rsidR="0057091A" w:rsidRDefault="0057091A">
      <w:pPr>
        <w:pStyle w:val="ConsPlusNormal"/>
        <w:ind w:firstLine="540"/>
        <w:jc w:val="both"/>
      </w:pPr>
    </w:p>
    <w:p w:rsidR="0057091A" w:rsidRDefault="0057091A">
      <w:pPr>
        <w:pStyle w:val="ConsPlusNormal"/>
        <w:ind w:firstLine="540"/>
        <w:jc w:val="both"/>
      </w:pPr>
      <w:r>
        <w:t xml:space="preserve">5.1. Досудебное обжалование решений департамента, действий (бездействия) его должностных лиц осуществляется в соответствии с </w:t>
      </w:r>
      <w:hyperlink r:id="rId32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 xml:space="preserve">5.2. Правом на обжалование решений департамента,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33">
        <w:r>
          <w:rPr>
            <w:color w:val="0000FF"/>
          </w:rPr>
          <w:t>части 4 статьи 40</w:t>
        </w:r>
      </w:hyperlink>
      <w:r>
        <w:t xml:space="preserve"> Федерального закона N 248-ФЗ.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5.3. Жалоба подается контролируемым лицом в департамент в электронном виде с использованием Единого портала государственных и муниципальных услуг (функций), за исключением случая, предусмотренного пунктом 5.4 настоящего Положения.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При подаче жалобы организацией она должна быть подписана усиленной квалифицированной электронной подписью.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5.4. Жалоба, содержащая сведения и документы, составляющие государственную или иную охраняемую законом тайну,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5.5. Жалоба на решение департамента, действия (бездействие) его должностных лиц рассматривается коллегиальным органом департамента, состав и порядок работы которого утверждаются приказом департамента.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>Приложение</w:t>
      </w:r>
    </w:p>
    <w:p w:rsidR="0057091A" w:rsidRDefault="0057091A">
      <w:pPr>
        <w:pStyle w:val="ConsPlusNormal"/>
        <w:jc w:val="right"/>
      </w:pPr>
      <w:r>
        <w:t>к Положению о региональном государственном</w:t>
      </w:r>
    </w:p>
    <w:p w:rsidR="0057091A" w:rsidRDefault="0057091A">
      <w:pPr>
        <w:pStyle w:val="ConsPlusNormal"/>
        <w:jc w:val="right"/>
      </w:pPr>
      <w:r>
        <w:t>контроле (надзоре) в области долевого</w:t>
      </w:r>
    </w:p>
    <w:p w:rsidR="0057091A" w:rsidRDefault="0057091A">
      <w:pPr>
        <w:pStyle w:val="ConsPlusNormal"/>
        <w:jc w:val="right"/>
      </w:pPr>
      <w:r>
        <w:t>строительства многоквартирных домов</w:t>
      </w:r>
    </w:p>
    <w:p w:rsidR="0057091A" w:rsidRDefault="0057091A">
      <w:pPr>
        <w:pStyle w:val="ConsPlusNormal"/>
        <w:jc w:val="right"/>
      </w:pPr>
      <w:r>
        <w:t>и (или) иных объектов недвижимости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</w:pPr>
      <w:bookmarkStart w:id="3" w:name="P182"/>
      <w:bookmarkEnd w:id="3"/>
      <w:r>
        <w:t>Критерии отнесения объекта контроля к определенным</w:t>
      </w:r>
    </w:p>
    <w:p w:rsidR="0057091A" w:rsidRDefault="0057091A">
      <w:pPr>
        <w:pStyle w:val="ConsPlusTitle"/>
        <w:jc w:val="center"/>
      </w:pPr>
      <w:r>
        <w:t>категориям риска при организации регионального</w:t>
      </w:r>
    </w:p>
    <w:p w:rsidR="0057091A" w:rsidRDefault="0057091A">
      <w:pPr>
        <w:pStyle w:val="ConsPlusTitle"/>
        <w:jc w:val="center"/>
      </w:pPr>
      <w:r>
        <w:t>государственного контроля (надзора) в области</w:t>
      </w:r>
    </w:p>
    <w:p w:rsidR="0057091A" w:rsidRDefault="0057091A">
      <w:pPr>
        <w:pStyle w:val="ConsPlusTitle"/>
        <w:jc w:val="center"/>
      </w:pPr>
      <w:r>
        <w:t>долевого строительства многоквартирных домов</w:t>
      </w:r>
    </w:p>
    <w:p w:rsidR="0057091A" w:rsidRDefault="0057091A">
      <w:pPr>
        <w:pStyle w:val="ConsPlusTitle"/>
        <w:jc w:val="center"/>
      </w:pPr>
      <w:r>
        <w:t>и (или) иных объектов недвижимости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 xml:space="preserve">1. Критерии отнесения деятельности действий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разработаны с 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Федерации.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2. Деятельность субъектов регионального государственного контроля (надзора) относится к следующим категориям риска в зависимости от критериев риска:</w:t>
      </w:r>
    </w:p>
    <w:p w:rsidR="0057091A" w:rsidRDefault="005709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19"/>
      </w:tblGrid>
      <w:tr w:rsidR="0057091A">
        <w:tc>
          <w:tcPr>
            <w:tcW w:w="2721" w:type="dxa"/>
          </w:tcPr>
          <w:p w:rsidR="0057091A" w:rsidRDefault="0057091A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6319" w:type="dxa"/>
          </w:tcPr>
          <w:p w:rsidR="0057091A" w:rsidRDefault="0057091A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57091A">
        <w:tc>
          <w:tcPr>
            <w:tcW w:w="2721" w:type="dxa"/>
          </w:tcPr>
          <w:p w:rsidR="0057091A" w:rsidRDefault="0057091A">
            <w:pPr>
              <w:pStyle w:val="ConsPlusNormal"/>
            </w:pPr>
            <w:r>
              <w:t>Средний риск</w:t>
            </w:r>
          </w:p>
        </w:tc>
        <w:tc>
          <w:tcPr>
            <w:tcW w:w="6319" w:type="dxa"/>
          </w:tcPr>
          <w:p w:rsidR="0057091A" w:rsidRDefault="0057091A">
            <w:pPr>
              <w:pStyle w:val="ConsPlusNormal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35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57091A" w:rsidRDefault="0057091A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57091A">
        <w:tc>
          <w:tcPr>
            <w:tcW w:w="2721" w:type="dxa"/>
          </w:tcPr>
          <w:p w:rsidR="0057091A" w:rsidRDefault="0057091A">
            <w:pPr>
              <w:pStyle w:val="ConsPlusNormal"/>
            </w:pPr>
            <w:r>
              <w:t>Умеренный риск</w:t>
            </w:r>
          </w:p>
        </w:tc>
        <w:tc>
          <w:tcPr>
            <w:tcW w:w="6319" w:type="dxa"/>
          </w:tcPr>
          <w:p w:rsidR="0057091A" w:rsidRDefault="0057091A">
            <w:pPr>
              <w:pStyle w:val="ConsPlusNormal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38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57091A" w:rsidRDefault="0057091A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57091A">
        <w:tc>
          <w:tcPr>
            <w:tcW w:w="2721" w:type="dxa"/>
          </w:tcPr>
          <w:p w:rsidR="0057091A" w:rsidRDefault="0057091A">
            <w:pPr>
              <w:pStyle w:val="ConsPlusNormal"/>
            </w:pPr>
            <w:r>
              <w:t>Низкий риск</w:t>
            </w:r>
          </w:p>
        </w:tc>
        <w:tc>
          <w:tcPr>
            <w:tcW w:w="6319" w:type="dxa"/>
          </w:tcPr>
          <w:p w:rsidR="0057091A" w:rsidRDefault="0057091A">
            <w:pPr>
              <w:pStyle w:val="ConsPlusNormal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40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</w:t>
            </w:r>
            <w:r>
              <w:lastRenderedPageBreak/>
              <w:t>административному наказанию за совершение административных правонарушений, предусмотренных частями 1, 2, 3, 4 статьи 14.28, частью 4 статьи 19.5 Кодекса Российской Федерации об административных правонарушениях.</w:t>
            </w:r>
          </w:p>
          <w:p w:rsidR="0057091A" w:rsidRDefault="0057091A">
            <w:pPr>
              <w:pStyle w:val="ConsPlusNormal"/>
            </w:pPr>
            <w:r>
              <w:t>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right"/>
        <w:outlineLvl w:val="0"/>
      </w:pPr>
      <w:r>
        <w:t>Утверждены</w:t>
      </w:r>
    </w:p>
    <w:p w:rsidR="0057091A" w:rsidRDefault="0057091A">
      <w:pPr>
        <w:pStyle w:val="ConsPlusNormal"/>
        <w:jc w:val="right"/>
      </w:pPr>
      <w:r>
        <w:t>постановлением</w:t>
      </w:r>
    </w:p>
    <w:p w:rsidR="0057091A" w:rsidRDefault="0057091A">
      <w:pPr>
        <w:pStyle w:val="ConsPlusNormal"/>
        <w:jc w:val="right"/>
      </w:pPr>
      <w:r>
        <w:t>Правительства Брянской области</w:t>
      </w:r>
    </w:p>
    <w:p w:rsidR="0057091A" w:rsidRDefault="0057091A">
      <w:pPr>
        <w:pStyle w:val="ConsPlusNormal"/>
        <w:jc w:val="right"/>
      </w:pPr>
      <w:r>
        <w:t>от 22 ноября 2021 г. N 495-п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Title"/>
        <w:jc w:val="center"/>
      </w:pPr>
      <w:bookmarkStart w:id="4" w:name="P212"/>
      <w:bookmarkEnd w:id="4"/>
      <w:r>
        <w:t>ИНДИКАТОРЫ РИСКА НАРУШЕНИЯ ОБЯЗАТЕЛЬНЫХ ТРЕБОВАНИЙ</w:t>
      </w:r>
    </w:p>
    <w:p w:rsidR="0057091A" w:rsidRDefault="0057091A">
      <w:pPr>
        <w:pStyle w:val="ConsPlusTitle"/>
        <w:jc w:val="center"/>
      </w:pPr>
      <w:r>
        <w:t>ПРИ ОРГАНИЗАЦИИ РЕГИОНАЛЬНОГО ГОСУДАРСТВЕННОГО КОНТРОЛЯ</w:t>
      </w:r>
    </w:p>
    <w:p w:rsidR="0057091A" w:rsidRDefault="0057091A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57091A" w:rsidRDefault="0057091A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ind w:firstLine="540"/>
        <w:jc w:val="both"/>
      </w:pPr>
      <w:r>
        <w:t>К индикаторам риска нарушения обязательных требований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 относятся: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57091A" w:rsidRDefault="0057091A">
      <w:pPr>
        <w:pStyle w:val="ConsPlusNormal"/>
        <w:spacing w:before="220"/>
        <w:ind w:firstLine="540"/>
        <w:jc w:val="both"/>
      </w:pPr>
      <w: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jc w:val="both"/>
      </w:pPr>
    </w:p>
    <w:p w:rsidR="0057091A" w:rsidRDefault="00570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5A4" w:rsidRDefault="009525A4"/>
    <w:sectPr w:rsidR="009525A4" w:rsidSect="001A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A"/>
    <w:rsid w:val="0057091A"/>
    <w:rsid w:val="009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4EB"/>
  <w15:chartTrackingRefBased/>
  <w15:docId w15:val="{6C4E81E3-3393-4B7F-9E3B-F07752F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9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28" TargetMode="External"/><Relationship Id="rId18" Type="http://schemas.openxmlformats.org/officeDocument/2006/relationships/hyperlink" Target="https://login.consultant.ru/link/?req=doc&amp;base=LAW&amp;n=465728&amp;dst=101127" TargetMode="External"/><Relationship Id="rId26" Type="http://schemas.openxmlformats.org/officeDocument/2006/relationships/hyperlink" Target="https://login.consultant.ru/link/?req=doc&amp;base=LAW&amp;n=465728&amp;dst=100634" TargetMode="External"/><Relationship Id="rId39" Type="http://schemas.openxmlformats.org/officeDocument/2006/relationships/hyperlink" Target="https://login.consultant.ru/link/?req=doc&amp;base=LAW&amp;n=465969&amp;dst=7068" TargetMode="External"/><Relationship Id="rId21" Type="http://schemas.openxmlformats.org/officeDocument/2006/relationships/hyperlink" Target="https://login.consultant.ru/link/?req=doc&amp;base=LAW&amp;n=465728&amp;dst=100553" TargetMode="External"/><Relationship Id="rId34" Type="http://schemas.openxmlformats.org/officeDocument/2006/relationships/hyperlink" Target="https://login.consultant.ru/link/?req=doc&amp;base=LAW&amp;n=454012" TargetMode="External"/><Relationship Id="rId42" Type="http://schemas.openxmlformats.org/officeDocument/2006/relationships/hyperlink" Target="https://login.consultant.ru/link/?req=doc&amp;base=LAW&amp;n=465969&amp;dst=7068" TargetMode="External"/><Relationship Id="rId7" Type="http://schemas.openxmlformats.org/officeDocument/2006/relationships/hyperlink" Target="https://login.consultant.ru/link/?req=doc&amp;base=RLAW201&amp;n=634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28&amp;dst=100509" TargetMode="External"/><Relationship Id="rId29" Type="http://schemas.openxmlformats.org/officeDocument/2006/relationships/hyperlink" Target="https://login.consultant.ru/link/?req=doc&amp;base=LAW&amp;n=465728&amp;dst=1011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1&amp;n=78041&amp;dst=100086" TargetMode="External"/><Relationship Id="rId11" Type="http://schemas.openxmlformats.org/officeDocument/2006/relationships/hyperlink" Target="https://login.consultant.ru/link/?req=doc&amp;base=LAW&amp;n=465728&amp;dst=100315" TargetMode="External"/><Relationship Id="rId24" Type="http://schemas.openxmlformats.org/officeDocument/2006/relationships/hyperlink" Target="https://login.consultant.ru/link/?req=doc&amp;base=LAW&amp;n=465728&amp;dst=100553" TargetMode="External"/><Relationship Id="rId32" Type="http://schemas.openxmlformats.org/officeDocument/2006/relationships/hyperlink" Target="https://login.consultant.ru/link/?req=doc&amp;base=LAW&amp;n=465728&amp;dst=100422" TargetMode="External"/><Relationship Id="rId37" Type="http://schemas.openxmlformats.org/officeDocument/2006/relationships/hyperlink" Target="https://login.consultant.ru/link/?req=doc&amp;base=LAW&amp;n=465969&amp;dst=7080" TargetMode="External"/><Relationship Id="rId40" Type="http://schemas.openxmlformats.org/officeDocument/2006/relationships/hyperlink" Target="https://login.consultant.ru/link/?req=doc&amp;base=LAW&amp;n=465969&amp;dst=700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12&amp;dst=413" TargetMode="External"/><Relationship Id="rId15" Type="http://schemas.openxmlformats.org/officeDocument/2006/relationships/hyperlink" Target="https://login.consultant.ru/link/?req=doc&amp;base=LAW&amp;n=465728&amp;dst=100497" TargetMode="External"/><Relationship Id="rId23" Type="http://schemas.openxmlformats.org/officeDocument/2006/relationships/hyperlink" Target="https://login.consultant.ru/link/?req=doc&amp;base=LAW&amp;n=465728&amp;dst=100572" TargetMode="External"/><Relationship Id="rId28" Type="http://schemas.openxmlformats.org/officeDocument/2006/relationships/hyperlink" Target="https://login.consultant.ru/link/?req=doc&amp;base=LAW&amp;n=465728&amp;dst=100638" TargetMode="External"/><Relationship Id="rId36" Type="http://schemas.openxmlformats.org/officeDocument/2006/relationships/hyperlink" Target="https://login.consultant.ru/link/?req=doc&amp;base=LAW&amp;n=465969&amp;dst=7069" TargetMode="External"/><Relationship Id="rId10" Type="http://schemas.openxmlformats.org/officeDocument/2006/relationships/hyperlink" Target="https://login.consultant.ru/link/?req=doc&amp;base=LAW&amp;n=454012" TargetMode="External"/><Relationship Id="rId19" Type="http://schemas.openxmlformats.org/officeDocument/2006/relationships/hyperlink" Target="https://login.consultant.ru/link/?req=doc&amp;base=LAW&amp;n=465728&amp;dst=101128" TargetMode="External"/><Relationship Id="rId31" Type="http://schemas.openxmlformats.org/officeDocument/2006/relationships/hyperlink" Target="https://login.consultant.ru/link/?req=doc&amp;base=RLAW201&amp;n=76108&amp;dst=100013" TargetMode="External"/><Relationship Id="rId44" Type="http://schemas.openxmlformats.org/officeDocument/2006/relationships/hyperlink" Target="https://login.consultant.ru/link/?req=doc&amp;base=LAW&amp;n=465969&amp;dst=7080" TargetMode="External"/><Relationship Id="rId4" Type="http://schemas.openxmlformats.org/officeDocument/2006/relationships/hyperlink" Target="https://login.consultant.ru/link/?req=doc&amp;base=LAW&amp;n=465728&amp;dst=100087" TargetMode="External"/><Relationship Id="rId9" Type="http://schemas.openxmlformats.org/officeDocument/2006/relationships/hyperlink" Target="https://login.consultant.ru/link/?req=doc&amp;base=RLAW201&amp;n=76108&amp;dst=100005" TargetMode="External"/><Relationship Id="rId14" Type="http://schemas.openxmlformats.org/officeDocument/2006/relationships/hyperlink" Target="https://login.consultant.ru/link/?req=doc&amp;base=LAW&amp;n=465728&amp;dst=100487" TargetMode="External"/><Relationship Id="rId22" Type="http://schemas.openxmlformats.org/officeDocument/2006/relationships/hyperlink" Target="https://login.consultant.ru/link/?req=doc&amp;base=LAW&amp;n=454103" TargetMode="External"/><Relationship Id="rId27" Type="http://schemas.openxmlformats.org/officeDocument/2006/relationships/hyperlink" Target="https://login.consultant.ru/link/?req=doc&amp;base=LAW&amp;n=465728&amp;dst=100636" TargetMode="External"/><Relationship Id="rId30" Type="http://schemas.openxmlformats.org/officeDocument/2006/relationships/hyperlink" Target="https://login.consultant.ru/link/?req=doc&amp;base=LAW&amp;n=465728&amp;dst=101187" TargetMode="External"/><Relationship Id="rId35" Type="http://schemas.openxmlformats.org/officeDocument/2006/relationships/hyperlink" Target="https://login.consultant.ru/link/?req=doc&amp;base=LAW&amp;n=465969&amp;dst=7007" TargetMode="External"/><Relationship Id="rId43" Type="http://schemas.openxmlformats.org/officeDocument/2006/relationships/hyperlink" Target="https://login.consultant.ru/link/?req=doc&amp;base=LAW&amp;n=465969&amp;dst=7069" TargetMode="External"/><Relationship Id="rId8" Type="http://schemas.openxmlformats.org/officeDocument/2006/relationships/hyperlink" Target="https://login.consultant.ru/link/?req=doc&amp;base=RLAW201&amp;n=63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012" TargetMode="External"/><Relationship Id="rId17" Type="http://schemas.openxmlformats.org/officeDocument/2006/relationships/hyperlink" Target="https://login.consultant.ru/link/?req=doc&amp;base=RLAW201&amp;n=76108&amp;dst=100009" TargetMode="External"/><Relationship Id="rId25" Type="http://schemas.openxmlformats.org/officeDocument/2006/relationships/hyperlink" Target="https://login.consultant.ru/link/?req=doc&amp;base=LAW&amp;n=465728&amp;dst=100578" TargetMode="External"/><Relationship Id="rId33" Type="http://schemas.openxmlformats.org/officeDocument/2006/relationships/hyperlink" Target="https://login.consultant.ru/link/?req=doc&amp;base=LAW&amp;n=465728&amp;dst=101143" TargetMode="External"/><Relationship Id="rId38" Type="http://schemas.openxmlformats.org/officeDocument/2006/relationships/hyperlink" Target="https://login.consultant.ru/link/?req=doc&amp;base=LAW&amp;n=465969&amp;dst=44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201&amp;n=76108&amp;dst=100012" TargetMode="External"/><Relationship Id="rId41" Type="http://schemas.openxmlformats.org/officeDocument/2006/relationships/hyperlink" Target="https://login.consultant.ru/link/?req=doc&amp;base=LAW&amp;n=465969&amp;dst=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2024-02-02T08:46:00Z</dcterms:created>
  <dcterms:modified xsi:type="dcterms:W3CDTF">2024-02-02T08:50:00Z</dcterms:modified>
</cp:coreProperties>
</file>