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91" w:rsidRDefault="00C14E91" w:rsidP="00C14E91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объявлению</w:t>
      </w:r>
    </w:p>
    <w:p w:rsidR="00C14E91" w:rsidRDefault="00C14E91" w:rsidP="00C14E91">
      <w:pPr>
        <w:ind w:firstLine="3"/>
        <w:jc w:val="right"/>
        <w:rPr>
          <w:sz w:val="28"/>
          <w:szCs w:val="28"/>
        </w:rPr>
      </w:pPr>
    </w:p>
    <w:p w:rsidR="00C14E91" w:rsidRDefault="00C14E91" w:rsidP="00C14E91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профессиональным знаниям и умениям </w:t>
      </w:r>
    </w:p>
    <w:p w:rsidR="00C14E91" w:rsidRDefault="00C14E91" w:rsidP="00C14E91">
      <w:pPr>
        <w:ind w:firstLine="3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6"/>
        <w:gridCol w:w="2589"/>
        <w:gridCol w:w="2267"/>
        <w:gridCol w:w="7762"/>
      </w:tblGrid>
      <w:tr w:rsidR="00C14E91" w:rsidTr="00255E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91" w:rsidRDefault="00C14E91" w:rsidP="00255ED6">
            <w:pPr>
              <w:jc w:val="center"/>
            </w:pPr>
            <w: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91" w:rsidRDefault="00C14E91" w:rsidP="00255ED6">
            <w:pPr>
              <w:jc w:val="center"/>
            </w:pPr>
            <w:r>
              <w:t>Наименование должности государственной гражданской службы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91" w:rsidRDefault="00C14E91" w:rsidP="00255ED6">
            <w:pPr>
              <w:jc w:val="center"/>
            </w:pPr>
            <w:r>
              <w:t>Квалификационные требования к уровню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91" w:rsidRDefault="00C14E91" w:rsidP="00255ED6">
            <w:pPr>
              <w:jc w:val="center"/>
            </w:pPr>
            <w:r>
              <w:t>Квалификационные требования к стажу гражданской службы или работы по специальности, направлению подготовки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91" w:rsidRDefault="00C14E91" w:rsidP="00255ED6">
            <w:pPr>
              <w:jc w:val="center"/>
            </w:pPr>
            <w:r>
              <w:t>Квалификационные требования к знаниям и умениям</w:t>
            </w:r>
          </w:p>
        </w:tc>
      </w:tr>
      <w:tr w:rsidR="00C14E91" w:rsidTr="00255E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Default="00C14E91" w:rsidP="00255ED6">
            <w:pPr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Pr="001924CE" w:rsidRDefault="00C14E91" w:rsidP="00255ED6">
            <w:pPr>
              <w:jc w:val="center"/>
            </w:pPr>
            <w:r w:rsidRPr="001924CE">
              <w:rPr>
                <w:rFonts w:eastAsia="Calibri"/>
              </w:rPr>
              <w:t>Начальник отдела развития строительного комплекса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3C" w:rsidRDefault="00C1603C" w:rsidP="00255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  <w:r w:rsidRPr="00C1603C">
              <w:rPr>
                <w:color w:val="000000"/>
              </w:rPr>
              <w:t xml:space="preserve"> не ниже уровня </w:t>
            </w:r>
            <w:proofErr w:type="spellStart"/>
            <w:r w:rsidRPr="00C1603C">
              <w:rPr>
                <w:color w:val="000000"/>
              </w:rPr>
              <w:t>специал</w:t>
            </w:r>
            <w:r>
              <w:rPr>
                <w:color w:val="000000"/>
              </w:rPr>
              <w:t>итета</w:t>
            </w:r>
            <w:proofErr w:type="spellEnd"/>
            <w:r>
              <w:rPr>
                <w:color w:val="000000"/>
              </w:rPr>
              <w:t>, магистратуры либо высшее профессиональное образование, полученное</w:t>
            </w:r>
            <w:r w:rsidRPr="00C1603C">
              <w:rPr>
                <w:color w:val="000000"/>
              </w:rPr>
              <w:t xml:space="preserve">                    до 29 августа 1996 года</w:t>
            </w:r>
            <w:r>
              <w:rPr>
                <w:color w:val="000000"/>
              </w:rPr>
              <w:t>.</w:t>
            </w:r>
          </w:p>
          <w:p w:rsidR="00C1603C" w:rsidRPr="00C1603C" w:rsidRDefault="00C1603C" w:rsidP="00255ED6">
            <w:pPr>
              <w:jc w:val="center"/>
              <w:rPr>
                <w:color w:val="000000"/>
              </w:rPr>
            </w:pPr>
            <w:r w:rsidRPr="00C1603C">
              <w:rPr>
                <w:color w:val="000000"/>
              </w:rPr>
              <w:t xml:space="preserve"> </w:t>
            </w:r>
            <w:r w:rsidRPr="00C1603C">
              <w:t xml:space="preserve">Направления </w:t>
            </w:r>
            <w:r w:rsidRPr="00C1603C">
              <w:t>подготовки профессионального образования</w:t>
            </w:r>
            <w:r w:rsidRPr="00C1603C">
              <w:t>:</w:t>
            </w:r>
          </w:p>
          <w:p w:rsidR="00C14E91" w:rsidRPr="001924CE" w:rsidRDefault="000C0B0A" w:rsidP="00255ED6">
            <w:pPr>
              <w:jc w:val="center"/>
            </w:pPr>
            <w:r w:rsidRPr="000C0B0A">
              <w:rPr>
                <w:color w:val="000000"/>
              </w:rPr>
              <w:t>«Строительство», «Градостроительство», «</w:t>
            </w:r>
            <w:r w:rsidR="005A48BD">
              <w:rPr>
                <w:color w:val="000000"/>
              </w:rPr>
              <w:t>Строительство уникальных зданий и сооружений</w:t>
            </w:r>
            <w:r w:rsidRPr="000C0B0A">
              <w:rPr>
                <w:color w:val="000000"/>
              </w:rPr>
              <w:t>», «Архитектура»</w:t>
            </w:r>
            <w:r>
              <w:rPr>
                <w:color w:val="000000"/>
              </w:rPr>
              <w:t xml:space="preserve"> </w:t>
            </w:r>
            <w:r w:rsidR="00C14E91" w:rsidRPr="000C0B0A">
              <w:t xml:space="preserve">или </w:t>
            </w:r>
            <w:r w:rsidR="00C14E91" w:rsidRPr="000C0B0A">
              <w:lastRenderedPageBreak/>
              <w:t>иные специальности</w:t>
            </w:r>
            <w:r w:rsidR="00C14E91" w:rsidRPr="001924CE">
      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C14E91" w:rsidRPr="001924CE">
              <w:rPr>
                <w:bCs/>
              </w:rPr>
              <w:t>.</w:t>
            </w:r>
          </w:p>
          <w:p w:rsidR="00C14E91" w:rsidRPr="001924CE" w:rsidRDefault="00C14E91" w:rsidP="00255ED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Pr="001924CE" w:rsidRDefault="00C1603C" w:rsidP="00255ED6">
            <w:pPr>
              <w:jc w:val="center"/>
            </w:pPr>
            <w:r>
              <w:lastRenderedPageBreak/>
              <w:t>Н</w:t>
            </w:r>
            <w:r w:rsidR="00C14E91" w:rsidRPr="001924CE">
              <w:t xml:space="preserve">е менее двух лет стажа государственной гражданской службы или не менее двух лет стажа работы по специальности, направлению </w:t>
            </w:r>
            <w:bookmarkStart w:id="0" w:name="_GoBack"/>
            <w:bookmarkEnd w:id="0"/>
            <w:r w:rsidR="00C14E91" w:rsidRPr="001924CE">
              <w:t>подготовки.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Базовые знания: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знание государственного языка Российской Федерации (русского языка);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знание основ Конституции Российской Федерации, законодательства о государственной гражданской службе, законодательства о противодействии коррупции;</w:t>
            </w:r>
          </w:p>
          <w:p w:rsidR="006C635A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</w:r>
          </w:p>
          <w:p w:rsidR="00C14E91" w:rsidRPr="006C635A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6C635A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Базовые умения:</w:t>
            </w:r>
          </w:p>
          <w:p w:rsidR="00C14E91" w:rsidRPr="001924CE" w:rsidRDefault="00C14E91" w:rsidP="00255ED6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мыслить системно (стратегически);</w:t>
            </w:r>
          </w:p>
          <w:p w:rsidR="00C14E91" w:rsidRPr="001924CE" w:rsidRDefault="00C14E91" w:rsidP="00255ED6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C14E91" w:rsidRPr="001924CE" w:rsidRDefault="00C14E91" w:rsidP="00255ED6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достигать результата;</w:t>
            </w:r>
          </w:p>
          <w:p w:rsidR="00C14E91" w:rsidRPr="001924CE" w:rsidRDefault="00C14E91" w:rsidP="00255ED6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коммуникативные умения;</w:t>
            </w:r>
          </w:p>
          <w:p w:rsidR="00C14E91" w:rsidRPr="001924CE" w:rsidRDefault="00C14E91" w:rsidP="00255ED6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 xml:space="preserve">управленческие умения: умение руководить подчиненными, эффективно планировать, организовывать </w:t>
            </w: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работу и контролировать ее выполнение;</w:t>
            </w:r>
          </w:p>
          <w:p w:rsidR="00C14E91" w:rsidRPr="001924CE" w:rsidRDefault="00C14E91" w:rsidP="00255ED6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оперативно принимать и реализовывать управленческие решения.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1924CE">
              <w:rPr>
                <w:rFonts w:eastAsia="SimSun"/>
                <w:color w:val="000000"/>
                <w:kern w:val="1"/>
                <w:sz w:val="28"/>
                <w:szCs w:val="28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основ информационной безопасности и защиты информации;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основных положений законодательства о персональных данных;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общих принципов функционирования системы электронного документооборота;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основных положений законодательства об электронной подписи;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знания и умения по применению персонального компьютера.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области, которыми должен обладать гражданский служащий: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Градостроительный кодекс Российской Федерации;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Земельный кодекс Российской Федерации;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Жилищный кодекс Российской Федерации;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Гражданский кодекс Российской Федерации;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Кодекс Российской Федерации об административных правонарушениях;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Федеральный закон от 27 декабря 2002 года № 184−ФЗ «О техническом регулировании»;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Федеральный закон от 24 июля 2008 года № 161-ФЗ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      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«О содействии развитию жилищного строительства»;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Федеральный закон от 30 декабря 2009 года № 384-ФЗ «Технический регламент о безопасности зданий и сооружений»;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Федеральный закон от 07 декабря 2011 года № 416-ФЗ «О водоснабжении и водоотведении»;</w:t>
            </w:r>
          </w:p>
          <w:p w:rsidR="00C14E91" w:rsidRPr="001924CE" w:rsidRDefault="00C14E91" w:rsidP="00255ED6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Закон Брянской области от 15 марта 2007 года № 28-З                                         «О градостроительной деятельности в Брянской области»;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Постановление Правительства Брянской области </w:t>
            </w:r>
            <w:r w:rsidR="006C635A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          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от</w:t>
            </w:r>
            <w:r w:rsidR="007B249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27 октября 2014 года № 488-п «Об осуществлении капитальных вложений в объекты государственной и муниципальной собственности на территории Брянской области»;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Постановление Правительства Российской Федерации                                        от 13 сентября 2010 года № 716 «Об утверждении Правил формирования и реализации федеральной адресной инвестиционной программы»;  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Российской Федерации                                 от 05 марта 2007 года № 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Постановление Правительства Российской Федерации                                      от 23 сентября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объектов»;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Постановление Правительства Российской Федерации                                   от 16 февраля 2008 года № 87 «О составе разделов проектной документации и требованиях к их содержанию»; 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Российской Федерации                               от 12 ноября 2016 года № 1159 «О критериях экономической эффективности проектной документации»;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Российской Федерации                               от 31 марта 2017 года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РФ от 23 декабря 2016 года № 1452 «О мониторинге цен строительных ресурсов»;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Приказ Министерства регионального развития Российской Федерации от 28 мая 2010 года № 260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                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«Об утверждении Справочников базовых цен на проектные работы в строительстве»; 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Указ Губернатора Брянской области от 17 августа 2017 года № 139 «О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области».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Иные профессиональные знания: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основные направления и приоритеты государственной политики в области строительства;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проблемы и перспективы развития сферы строительства 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Российской Федерации;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понятие стратегии развития строительного комплекса;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приоритетные </w:t>
            </w:r>
            <w:r w:rsidRPr="001924CE">
              <w:rPr>
                <w:kern w:val="1"/>
                <w:sz w:val="28"/>
                <w:szCs w:val="28"/>
                <w:lang w:eastAsia="zh-CN" w:bidi="hi-IN"/>
              </w:rPr>
              <w:t>направления развития строительной отрасли</w:t>
            </w: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правила промышленной безопасности, пожарной безопасности и охраны труда;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1924C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понятие нормативно-техническая и проектная документация.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Профессиональные умения, которыми должен обладать гражданский служащий:</w:t>
            </w:r>
          </w:p>
          <w:p w:rsidR="007B2499" w:rsidRDefault="007B2499" w:rsidP="007B2499">
            <w:pPr>
              <w:jc w:val="both"/>
            </w:pPr>
            <w:r>
              <w:rPr>
                <w:color w:val="000000"/>
                <w:sz w:val="28"/>
                <w:szCs w:val="28"/>
              </w:rPr>
              <w:t>анализ и составление проектно-сметной документации;</w:t>
            </w:r>
          </w:p>
          <w:p w:rsidR="007B2499" w:rsidRDefault="007B2499" w:rsidP="007B2499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расчет стоимости объекта капитального строительства;</w:t>
            </w:r>
          </w:p>
          <w:p w:rsidR="007B2499" w:rsidRDefault="007B2499" w:rsidP="007B2499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анализ хода работ строительства (реконструкции) объекта капитального строительства;</w:t>
            </w:r>
          </w:p>
          <w:p w:rsidR="007B2499" w:rsidRDefault="007B2499" w:rsidP="007B2499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 xml:space="preserve">составление краткого </w:t>
            </w:r>
            <w:proofErr w:type="spellStart"/>
            <w:r>
              <w:rPr>
                <w:color w:val="000000"/>
                <w:sz w:val="28"/>
                <w:szCs w:val="28"/>
              </w:rPr>
              <w:t>конъюктурного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обзора объектов строительства (реконструкции).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1924CE">
              <w:rPr>
                <w:rFonts w:eastAsia="SimSun" w:cs="Mangal"/>
                <w:kern w:val="1"/>
                <w:sz w:val="28"/>
                <w:szCs w:val="28"/>
                <w:u w:val="single"/>
                <w:lang w:eastAsia="zh-CN" w:bidi="hi-IN"/>
              </w:rPr>
              <w:t>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Функциональные знания:</w:t>
            </w:r>
          </w:p>
          <w:p w:rsidR="009866BB" w:rsidRDefault="009866BB" w:rsidP="009866BB">
            <w:pPr>
              <w:jc w:val="both"/>
            </w:pPr>
            <w:r>
              <w:rPr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9866BB" w:rsidRDefault="009866BB" w:rsidP="009866BB">
            <w:pPr>
              <w:jc w:val="both"/>
            </w:pPr>
            <w:r>
              <w:rPr>
                <w:sz w:val="28"/>
                <w:szCs w:val="28"/>
              </w:rPr>
              <w:tab/>
              <w:t>задачи, сроки, ресурсы и инструменты государственной политики;</w:t>
            </w:r>
          </w:p>
          <w:p w:rsidR="009866BB" w:rsidRDefault="009866BB" w:rsidP="009866BB">
            <w:pPr>
              <w:jc w:val="both"/>
            </w:pPr>
            <w:r>
              <w:rPr>
                <w:sz w:val="28"/>
                <w:szCs w:val="28"/>
              </w:rPr>
              <w:tab/>
              <w:t>классификация моделей государственной политики;</w:t>
            </w:r>
          </w:p>
          <w:p w:rsidR="00C14E91" w:rsidRPr="009866BB" w:rsidRDefault="009866BB" w:rsidP="009866BB">
            <w:pPr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ab/>
              <w:t>понятие, процедура и сроки рассмотрения обращений граждан.</w:t>
            </w:r>
          </w:p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Функциональные умения:</w:t>
            </w:r>
          </w:p>
          <w:p w:rsidR="009866BB" w:rsidRDefault="00C14E91" w:rsidP="009866BB">
            <w:pPr>
              <w:autoSpaceDE w:val="0"/>
              <w:jc w:val="both"/>
            </w:pPr>
            <w:r w:rsidRPr="001924C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</w:r>
            <w:r w:rsidR="009866BB">
              <w:rPr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9866BB" w:rsidRDefault="009866BB" w:rsidP="009866BB">
            <w:pPr>
              <w:ind w:firstLine="709"/>
              <w:jc w:val="both"/>
            </w:pPr>
            <w:r>
              <w:rPr>
                <w:sz w:val="28"/>
                <w:szCs w:val="28"/>
              </w:rPr>
              <w:t>подготовка разъяснений, проведение консультаций;</w:t>
            </w:r>
          </w:p>
          <w:p w:rsidR="009866BB" w:rsidRDefault="009866BB" w:rsidP="009866BB">
            <w:pPr>
              <w:ind w:firstLine="709"/>
              <w:jc w:val="both"/>
            </w:pPr>
            <w:r>
              <w:rPr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9866BB" w:rsidRDefault="009866BB" w:rsidP="009866BB">
            <w:pPr>
              <w:ind w:firstLine="709"/>
              <w:jc w:val="both"/>
            </w:pPr>
            <w:r>
              <w:rPr>
                <w:sz w:val="28"/>
                <w:szCs w:val="28"/>
              </w:rPr>
              <w:t>рассмотрение запросов, ходатайств, уведомлений, жалоб;</w:t>
            </w:r>
          </w:p>
          <w:p w:rsidR="00C14E91" w:rsidRPr="00925AEC" w:rsidRDefault="009866BB" w:rsidP="009866BB">
            <w:pPr>
              <w:jc w:val="both"/>
              <w:rPr>
                <w:rFonts w:eastAsia="SimSun"/>
                <w:kern w:val="2"/>
                <w:lang w:eastAsia="zh-CN" w:bidi="hi-IN"/>
              </w:rPr>
            </w:pPr>
            <w:r w:rsidRPr="009866BB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организация и проведение мониторинга применения законодательства.</w:t>
            </w:r>
          </w:p>
        </w:tc>
      </w:tr>
      <w:tr w:rsidR="00C14E91" w:rsidTr="00255E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Default="00C14E91" w:rsidP="00255ED6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Default="00C14E91" w:rsidP="00255ED6">
            <w:pPr>
              <w:jc w:val="center"/>
              <w:rPr>
                <w:rFonts w:eastAsia="Calibr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Pr="00A6152F" w:rsidRDefault="00C14E91" w:rsidP="00255ED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Pr="00A6152F" w:rsidRDefault="00C14E91" w:rsidP="00255ED6">
            <w:pPr>
              <w:jc w:val="center"/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1" w:rsidRPr="001924CE" w:rsidRDefault="00C14E91" w:rsidP="00255ED6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</w:pPr>
          </w:p>
        </w:tc>
      </w:tr>
    </w:tbl>
    <w:p w:rsidR="00730ED4" w:rsidRDefault="00730ED4"/>
    <w:sectPr w:rsidR="00730ED4" w:rsidSect="00C14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8"/>
    <w:rsid w:val="000C0B0A"/>
    <w:rsid w:val="005A48BD"/>
    <w:rsid w:val="006C635A"/>
    <w:rsid w:val="00730ED4"/>
    <w:rsid w:val="007B2499"/>
    <w:rsid w:val="009111E2"/>
    <w:rsid w:val="009866BB"/>
    <w:rsid w:val="00BF25F8"/>
    <w:rsid w:val="00C14E91"/>
    <w:rsid w:val="00C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Бондарь</cp:lastModifiedBy>
  <cp:revision>6</cp:revision>
  <cp:lastPrinted>2020-08-20T13:25:00Z</cp:lastPrinted>
  <dcterms:created xsi:type="dcterms:W3CDTF">2020-08-13T14:26:00Z</dcterms:created>
  <dcterms:modified xsi:type="dcterms:W3CDTF">2020-08-24T14:52:00Z</dcterms:modified>
</cp:coreProperties>
</file>